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6C" w:rsidRDefault="00E5386C">
      <w:pPr>
        <w:spacing w:line="200" w:lineRule="exact"/>
        <w:rPr>
          <w:sz w:val="24"/>
          <w:szCs w:val="24"/>
        </w:rPr>
      </w:pPr>
    </w:p>
    <w:p w:rsidR="00E5386C" w:rsidRDefault="00E5386C">
      <w:pPr>
        <w:spacing w:line="261" w:lineRule="exact"/>
        <w:rPr>
          <w:sz w:val="24"/>
          <w:szCs w:val="24"/>
        </w:rPr>
      </w:pPr>
    </w:p>
    <w:p w:rsidR="00E5386C" w:rsidRDefault="0019202F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UM NOVO OLHAR SOBRE A RELIGIOSIDADE E CULTURA AFRO-</w:t>
      </w:r>
    </w:p>
    <w:p w:rsidR="00E5386C" w:rsidRDefault="0019202F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BRASILEIRA: QUESTÕES ÉTNICAS.</w:t>
      </w:r>
    </w:p>
    <w:p w:rsidR="00E5386C" w:rsidRDefault="00E5386C">
      <w:pPr>
        <w:spacing w:line="244" w:lineRule="exact"/>
        <w:rPr>
          <w:sz w:val="24"/>
          <w:szCs w:val="24"/>
        </w:rPr>
      </w:pPr>
    </w:p>
    <w:p w:rsidR="00E5386C" w:rsidRDefault="00A526E4" w:rsidP="00A526E4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OLIVEIRA, </w:t>
      </w:r>
      <w:r w:rsidR="0019202F">
        <w:rPr>
          <w:rFonts w:eastAsia="Times New Roman"/>
          <w:sz w:val="23"/>
          <w:szCs w:val="23"/>
        </w:rPr>
        <w:t xml:space="preserve">Neuma Alves de </w:t>
      </w:r>
      <w:proofErr w:type="gramStart"/>
      <w:r w:rsidR="0019202F">
        <w:rPr>
          <w:rFonts w:eastAsia="Times New Roman"/>
          <w:sz w:val="31"/>
          <w:szCs w:val="31"/>
          <w:vertAlign w:val="superscript"/>
        </w:rPr>
        <w:t>1</w:t>
      </w:r>
      <w:proofErr w:type="gramEnd"/>
    </w:p>
    <w:p w:rsidR="00E5386C" w:rsidRDefault="00E5386C">
      <w:pPr>
        <w:spacing w:line="200" w:lineRule="exact"/>
        <w:rPr>
          <w:sz w:val="24"/>
          <w:szCs w:val="24"/>
        </w:rPr>
      </w:pPr>
    </w:p>
    <w:p w:rsidR="00E5386C" w:rsidRDefault="00E5386C">
      <w:pPr>
        <w:spacing w:line="303" w:lineRule="exact"/>
        <w:rPr>
          <w:sz w:val="24"/>
          <w:szCs w:val="24"/>
        </w:rPr>
      </w:pPr>
    </w:p>
    <w:p w:rsidR="00E5386C" w:rsidRDefault="0019202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RESUMO</w:t>
      </w:r>
    </w:p>
    <w:p w:rsidR="00E5386C" w:rsidRDefault="00E5386C">
      <w:pPr>
        <w:spacing w:line="283" w:lineRule="exact"/>
        <w:rPr>
          <w:sz w:val="24"/>
          <w:szCs w:val="24"/>
        </w:rPr>
      </w:pPr>
    </w:p>
    <w:p w:rsidR="00E5386C" w:rsidRDefault="0019202F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 presente artigo traz uma análise sobre a religiosidade e a cultura afro-brasileira, tendo como enfoque a contribuição que das raças indígena, negra e europeia para a formação religiosa e cultural do povo brasileiro. A apropriação e a ressignificação da palavra religiosa em terras brasileiras desvela a capacidade criativa desses homens e mulheres que cooperaram decisivamente para a construção do Brasil. Neste sentido, o objetivo deste trabalho é examinar, criticamente, como o processo colonial colaborou para a miscigenação e a partir de que momento da colonização começa o sincretismo, bem como, analisar as diferentes manifestações culturais e religiosas do país com destaque para as indígenas e afro-brasileiras. Para entendermos a religiosidade e cultura a partir da colonização, procederemos com um olhar sobre a miscigenação, o sincretismo, as irmandades negras e as festas na colônia, fazendo uma análise desta temática da história brasileira, a partir do encontro das três raças no período colonial, compreendendo como influíram para a formação das diversas manifestações da cultura e religiosidade do nosso povo. Desta forma, entenderemos que a nossa cultura hoje se constitui como uma mescla das diferentes raças que se miscigenaram e sincretizaram suas crenças e costumes, formando no que se caracteriza a sociedade brasileira.</w:t>
      </w:r>
    </w:p>
    <w:p w:rsidR="00E5386C" w:rsidRDefault="00E5386C">
      <w:pPr>
        <w:spacing w:line="200" w:lineRule="exact"/>
        <w:rPr>
          <w:sz w:val="24"/>
          <w:szCs w:val="24"/>
        </w:rPr>
      </w:pPr>
    </w:p>
    <w:p w:rsidR="00E5386C" w:rsidRDefault="00E5386C">
      <w:pPr>
        <w:spacing w:line="222" w:lineRule="exact"/>
        <w:rPr>
          <w:sz w:val="24"/>
          <w:szCs w:val="24"/>
        </w:rPr>
      </w:pPr>
    </w:p>
    <w:p w:rsidR="00E5386C" w:rsidRDefault="0019202F">
      <w:pPr>
        <w:tabs>
          <w:tab w:val="left" w:pos="2500"/>
          <w:tab w:val="left" w:pos="4340"/>
          <w:tab w:val="left" w:pos="6420"/>
          <w:tab w:val="left" w:pos="7820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PALAVRAS-CHAVE: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SINCRETISMO;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RELIGIOSIDADE;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CULTURA;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INDÍGENA;</w:t>
      </w:r>
    </w:p>
    <w:p w:rsidR="00E5386C" w:rsidRDefault="00E5386C">
      <w:pPr>
        <w:spacing w:line="139" w:lineRule="exact"/>
        <w:rPr>
          <w:sz w:val="24"/>
          <w:szCs w:val="24"/>
        </w:rPr>
      </w:pPr>
    </w:p>
    <w:p w:rsidR="00E5386C" w:rsidRDefault="0019202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AFRO-BRASILEIRA.</w:t>
      </w:r>
    </w:p>
    <w:p w:rsidR="00E5386C" w:rsidRDefault="00E5386C">
      <w:pPr>
        <w:spacing w:line="200" w:lineRule="exact"/>
        <w:rPr>
          <w:sz w:val="24"/>
          <w:szCs w:val="24"/>
        </w:rPr>
      </w:pPr>
    </w:p>
    <w:p w:rsidR="00E5386C" w:rsidRDefault="00E5386C" w:rsidP="00201C04">
      <w:pPr>
        <w:spacing w:line="352" w:lineRule="exact"/>
        <w:jc w:val="both"/>
        <w:rPr>
          <w:sz w:val="24"/>
          <w:szCs w:val="24"/>
        </w:rPr>
      </w:pPr>
    </w:p>
    <w:p w:rsidR="00201C04" w:rsidRDefault="00201C04" w:rsidP="00201C04">
      <w:pPr>
        <w:spacing w:line="352" w:lineRule="exact"/>
        <w:jc w:val="both"/>
        <w:rPr>
          <w:rFonts w:eastAsia="Times New Roman"/>
          <w:sz w:val="24"/>
          <w:szCs w:val="24"/>
        </w:rPr>
      </w:pPr>
      <w:r w:rsidRPr="00201C04">
        <w:rPr>
          <w:rFonts w:eastAsia="Times New Roman"/>
          <w:sz w:val="24"/>
          <w:szCs w:val="24"/>
        </w:rPr>
        <w:t>Para entendermos a formação cultural e religiosa do povo brasileiro, remetemo-nos à</w:t>
      </w:r>
      <w:r>
        <w:rPr>
          <w:rFonts w:eastAsia="Times New Roman"/>
          <w:sz w:val="24"/>
          <w:szCs w:val="24"/>
        </w:rPr>
        <w:t xml:space="preserve"> </w:t>
      </w:r>
      <w:r w:rsidRPr="00201C04">
        <w:rPr>
          <w:rFonts w:eastAsia="Times New Roman"/>
          <w:sz w:val="24"/>
          <w:szCs w:val="24"/>
        </w:rPr>
        <w:t xml:space="preserve">primeira definição de cultura, segundo Roque de Barros </w:t>
      </w:r>
      <w:proofErr w:type="spellStart"/>
      <w:r w:rsidRPr="00201C04">
        <w:rPr>
          <w:rFonts w:eastAsia="Times New Roman"/>
          <w:sz w:val="24"/>
          <w:szCs w:val="24"/>
        </w:rPr>
        <w:t>Lara</w:t>
      </w:r>
      <w:r>
        <w:rPr>
          <w:rFonts w:eastAsia="Times New Roman"/>
          <w:sz w:val="24"/>
          <w:szCs w:val="24"/>
        </w:rPr>
        <w:t>ia</w:t>
      </w:r>
      <w:proofErr w:type="spellEnd"/>
      <w:r>
        <w:rPr>
          <w:rFonts w:eastAsia="Times New Roman"/>
          <w:sz w:val="24"/>
          <w:szCs w:val="24"/>
        </w:rPr>
        <w:t xml:space="preserve">, formulada por Edward </w:t>
      </w:r>
      <w:proofErr w:type="spellStart"/>
      <w:r>
        <w:rPr>
          <w:rFonts w:eastAsia="Times New Roman"/>
          <w:sz w:val="24"/>
          <w:szCs w:val="24"/>
        </w:rPr>
        <w:t>Tylor</w:t>
      </w:r>
      <w:proofErr w:type="spellEnd"/>
      <w:r>
        <w:rPr>
          <w:rFonts w:eastAsia="Times New Roman"/>
          <w:sz w:val="24"/>
          <w:szCs w:val="24"/>
        </w:rPr>
        <w:t>, que</w:t>
      </w:r>
      <w:r>
        <w:rPr>
          <w:rFonts w:eastAsia="Times New Roman"/>
          <w:sz w:val="24"/>
          <w:szCs w:val="24"/>
        </w:rPr>
        <w:tab/>
      </w:r>
      <w:proofErr w:type="gramStart"/>
      <w:r>
        <w:rPr>
          <w:rFonts w:eastAsia="Times New Roman"/>
          <w:sz w:val="24"/>
          <w:szCs w:val="24"/>
        </w:rPr>
        <w:t>diz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E5386C" w:rsidRPr="00201C04" w:rsidRDefault="00201C04" w:rsidP="00201C04">
      <w:pPr>
        <w:spacing w:line="352" w:lineRule="exact"/>
        <w:jc w:val="both"/>
        <w:rPr>
          <w:rFonts w:eastAsia="Times New Roman"/>
          <w:sz w:val="24"/>
          <w:szCs w:val="24"/>
        </w:rPr>
      </w:pPr>
      <w:proofErr w:type="gramStart"/>
      <w:r w:rsidRPr="00201C04">
        <w:rPr>
          <w:rFonts w:eastAsia="Times New Roman"/>
          <w:sz w:val="24"/>
          <w:szCs w:val="24"/>
        </w:rPr>
        <w:t>ser</w:t>
      </w:r>
      <w:proofErr w:type="gramEnd"/>
      <w:r w:rsidRPr="00201C04">
        <w:rPr>
          <w:rFonts w:eastAsia="Times New Roman"/>
          <w:sz w:val="24"/>
          <w:szCs w:val="24"/>
        </w:rPr>
        <w:t xml:space="preserve"> cultura comportamento</w:t>
      </w:r>
      <w:r w:rsidRPr="00201C04">
        <w:rPr>
          <w:rFonts w:eastAsia="Times New Roman"/>
          <w:sz w:val="24"/>
          <w:szCs w:val="24"/>
        </w:rPr>
        <w:tab/>
        <w:t>aprendido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ab/>
        <w:t>tudo</w:t>
      </w:r>
      <w:r>
        <w:rPr>
          <w:rFonts w:eastAsia="Times New Roman"/>
          <w:sz w:val="24"/>
          <w:szCs w:val="24"/>
        </w:rPr>
        <w:tab/>
        <w:t>aquilo</w:t>
      </w:r>
      <w:r>
        <w:rPr>
          <w:rFonts w:eastAsia="Times New Roman"/>
          <w:sz w:val="24"/>
          <w:szCs w:val="24"/>
        </w:rPr>
        <w:tab/>
        <w:t>que independe</w:t>
      </w:r>
      <w:r>
        <w:rPr>
          <w:rFonts w:eastAsia="Times New Roman"/>
          <w:sz w:val="24"/>
          <w:szCs w:val="24"/>
        </w:rPr>
        <w:tab/>
        <w:t xml:space="preserve">de </w:t>
      </w:r>
      <w:r w:rsidRPr="00201C04">
        <w:rPr>
          <w:rFonts w:eastAsia="Times New Roman"/>
          <w:sz w:val="24"/>
          <w:szCs w:val="24"/>
        </w:rPr>
        <w:t xml:space="preserve">transmissão genética. Ainda no que se refere à origem da cultura, </w:t>
      </w:r>
      <w:proofErr w:type="spellStart"/>
      <w:r w:rsidRPr="00201C04">
        <w:rPr>
          <w:rFonts w:eastAsia="Times New Roman"/>
          <w:sz w:val="24"/>
          <w:szCs w:val="24"/>
        </w:rPr>
        <w:t>Laraia</w:t>
      </w:r>
      <w:proofErr w:type="spellEnd"/>
      <w:r w:rsidRPr="00201C04">
        <w:rPr>
          <w:rFonts w:eastAsia="Times New Roman"/>
          <w:sz w:val="24"/>
          <w:szCs w:val="24"/>
        </w:rPr>
        <w:t xml:space="preserve"> cita Clau</w:t>
      </w:r>
      <w:r>
        <w:rPr>
          <w:rFonts w:eastAsia="Times New Roman"/>
          <w:sz w:val="24"/>
          <w:szCs w:val="24"/>
        </w:rPr>
        <w:t xml:space="preserve">de Lévi- </w:t>
      </w:r>
      <w:r w:rsidRPr="00201C04">
        <w:rPr>
          <w:rFonts w:eastAsia="Times New Roman"/>
          <w:sz w:val="24"/>
          <w:szCs w:val="24"/>
        </w:rPr>
        <w:t xml:space="preserve">Strauss que considera que esta surgiu no momento em que </w:t>
      </w:r>
      <w:r>
        <w:rPr>
          <w:rFonts w:eastAsia="Times New Roman"/>
          <w:sz w:val="24"/>
          <w:szCs w:val="24"/>
        </w:rPr>
        <w:t xml:space="preserve">o homem convencionou a primeira </w:t>
      </w:r>
      <w:r w:rsidRPr="00201C04">
        <w:rPr>
          <w:rFonts w:eastAsia="Times New Roman"/>
          <w:sz w:val="24"/>
          <w:szCs w:val="24"/>
        </w:rPr>
        <w:t>regra. Mas o conhecimento científico atual está convencido de</w:t>
      </w:r>
      <w:r>
        <w:rPr>
          <w:rFonts w:eastAsia="Times New Roman"/>
          <w:sz w:val="24"/>
          <w:szCs w:val="24"/>
        </w:rPr>
        <w:t xml:space="preserve"> que o salto da natureza para a c</w:t>
      </w:r>
      <w:r w:rsidRPr="00201C04">
        <w:rPr>
          <w:rFonts w:eastAsia="Times New Roman"/>
          <w:sz w:val="24"/>
          <w:szCs w:val="24"/>
        </w:rPr>
        <w:t>ultura foi contínuo e incrivelmente lento, isto é, a cultura d</w:t>
      </w:r>
      <w:r>
        <w:rPr>
          <w:rFonts w:eastAsia="Times New Roman"/>
          <w:sz w:val="24"/>
          <w:szCs w:val="24"/>
        </w:rPr>
        <w:t xml:space="preserve">esenvolveu-se simultaneamente </w:t>
      </w:r>
      <w:r w:rsidRPr="00201C04">
        <w:rPr>
          <w:rFonts w:eastAsia="Times New Roman"/>
          <w:sz w:val="24"/>
          <w:szCs w:val="24"/>
        </w:rPr>
        <w:t xml:space="preserve">com o equipamento fisiológico do homem. Embora seja um </w:t>
      </w:r>
      <w:r>
        <w:rPr>
          <w:rFonts w:eastAsia="Times New Roman"/>
          <w:sz w:val="24"/>
          <w:szCs w:val="24"/>
        </w:rPr>
        <w:t xml:space="preserve">país de colonização portuguesa, </w:t>
      </w:r>
      <w:r w:rsidRPr="00201C04">
        <w:rPr>
          <w:rFonts w:eastAsia="Times New Roman"/>
          <w:sz w:val="24"/>
          <w:szCs w:val="24"/>
        </w:rPr>
        <w:t>outros grupos étnicos deixaram influências marcantes na cultu</w:t>
      </w:r>
      <w:r>
        <w:rPr>
          <w:rFonts w:eastAsia="Times New Roman"/>
          <w:sz w:val="24"/>
          <w:szCs w:val="24"/>
        </w:rPr>
        <w:t xml:space="preserve">ra brasileira, destacando-se os </w:t>
      </w:r>
      <w:r w:rsidRPr="00201C04">
        <w:rPr>
          <w:rFonts w:eastAsia="Times New Roman"/>
          <w:sz w:val="24"/>
          <w:szCs w:val="24"/>
        </w:rPr>
        <w:t>povos indígenas e os africanos.</w:t>
      </w: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656CE7">
      <w:pPr>
        <w:spacing w:line="207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-5613</wp:posOffset>
                </wp:positionH>
                <wp:positionV relativeFrom="paragraph">
                  <wp:posOffset>47935</wp:posOffset>
                </wp:positionV>
                <wp:extent cx="1945759" cy="0"/>
                <wp:effectExtent l="0" t="0" r="1651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7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3.75pt" to="152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" strokecolor="black [3040]"/>
            </w:pict>
          </mc:Fallback>
        </mc:AlternateContent>
      </w:r>
    </w:p>
    <w:p w:rsidR="00E5386C" w:rsidRDefault="0019202F" w:rsidP="00201C04">
      <w:pPr>
        <w:spacing w:line="220" w:lineRule="auto"/>
        <w:ind w:right="160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5"/>
          <w:szCs w:val="25"/>
          <w:vertAlign w:val="superscript"/>
        </w:rPr>
        <w:t>1</w:t>
      </w:r>
      <w:proofErr w:type="gramEnd"/>
      <w:r>
        <w:rPr>
          <w:rFonts w:eastAsia="Times New Roman"/>
          <w:sz w:val="20"/>
          <w:szCs w:val="20"/>
        </w:rPr>
        <w:t xml:space="preserve"> Aluna especial do Programa de Pós-Graduação em Educação – POSEDUC/UERN, </w:t>
      </w:r>
      <w:hyperlink r:id="rId9">
        <w:r>
          <w:rPr>
            <w:rFonts w:eastAsia="Times New Roman"/>
            <w:color w:val="0000FF"/>
            <w:sz w:val="20"/>
            <w:szCs w:val="20"/>
            <w:u w:val="single"/>
          </w:rPr>
          <w:t>neumaedna@hotmail.com</w:t>
        </w:r>
      </w:hyperlink>
      <w:r>
        <w:rPr>
          <w:rFonts w:eastAsia="Times New Roman"/>
          <w:sz w:val="20"/>
          <w:szCs w:val="20"/>
        </w:rPr>
        <w:t xml:space="preserve"> Eixo Temático III - Diversidade, Educação Étnico-Racial e Indígena.</w:t>
      </w:r>
    </w:p>
    <w:p w:rsidR="00201C04" w:rsidRPr="00201C04" w:rsidRDefault="00201C04" w:rsidP="00201C04">
      <w:pPr>
        <w:spacing w:line="220" w:lineRule="auto"/>
        <w:ind w:right="160"/>
        <w:rPr>
          <w:rFonts w:eastAsia="Times New Roman"/>
          <w:sz w:val="20"/>
          <w:szCs w:val="20"/>
        </w:rPr>
        <w:sectPr w:rsidR="00201C04" w:rsidRPr="00201C04" w:rsidSect="00331F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38"/>
          <w:pgMar w:top="1047" w:right="1120" w:bottom="1440" w:left="1700" w:header="0" w:footer="723" w:gutter="0"/>
          <w:pgNumType w:start="291"/>
          <w:cols w:space="720" w:equalWidth="0">
            <w:col w:w="9080"/>
          </w:cols>
          <w:titlePg/>
          <w:docGrid w:linePitch="299"/>
        </w:sectPr>
      </w:pPr>
    </w:p>
    <w:p w:rsidR="00E5386C" w:rsidRDefault="00E5386C">
      <w:pPr>
        <w:spacing w:line="270" w:lineRule="exact"/>
        <w:rPr>
          <w:sz w:val="20"/>
          <w:szCs w:val="20"/>
        </w:rPr>
      </w:pPr>
      <w:bookmarkStart w:id="1" w:name="page2"/>
      <w:bookmarkEnd w:id="1"/>
    </w:p>
    <w:p w:rsidR="00E5386C" w:rsidRDefault="0019202F">
      <w:pPr>
        <w:spacing w:line="358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Nesse sentido, as influências indígenas e africanas deixaram marcas no âmbito da </w:t>
      </w:r>
      <w:hyperlink r:id="rId16">
        <w:r>
          <w:rPr>
            <w:rFonts w:eastAsia="Times New Roman"/>
            <w:sz w:val="24"/>
            <w:szCs w:val="24"/>
          </w:rPr>
          <w:t xml:space="preserve">música, </w:t>
        </w:r>
      </w:hyperlink>
      <w:r>
        <w:rPr>
          <w:rFonts w:eastAsia="Times New Roman"/>
          <w:sz w:val="24"/>
          <w:szCs w:val="24"/>
        </w:rPr>
        <w:t xml:space="preserve">da </w:t>
      </w:r>
      <w:hyperlink r:id="rId17">
        <w:r>
          <w:rPr>
            <w:rFonts w:eastAsia="Times New Roman"/>
            <w:sz w:val="24"/>
            <w:szCs w:val="24"/>
          </w:rPr>
          <w:t xml:space="preserve">culinária, </w:t>
        </w:r>
      </w:hyperlink>
      <w:r>
        <w:rPr>
          <w:rFonts w:eastAsia="Times New Roman"/>
          <w:sz w:val="24"/>
          <w:szCs w:val="24"/>
        </w:rPr>
        <w:t xml:space="preserve">do </w:t>
      </w:r>
      <w:hyperlink r:id="rId18">
        <w:r>
          <w:rPr>
            <w:rFonts w:eastAsia="Times New Roman"/>
            <w:sz w:val="24"/>
            <w:szCs w:val="24"/>
          </w:rPr>
          <w:t xml:space="preserve">folclore, </w:t>
        </w:r>
      </w:hyperlink>
      <w:r>
        <w:rPr>
          <w:rFonts w:eastAsia="Times New Roman"/>
          <w:sz w:val="24"/>
          <w:szCs w:val="24"/>
        </w:rPr>
        <w:t xml:space="preserve">do </w:t>
      </w:r>
      <w:hyperlink r:id="rId19">
        <w:r>
          <w:rPr>
            <w:rFonts w:eastAsia="Times New Roman"/>
            <w:sz w:val="24"/>
            <w:szCs w:val="24"/>
          </w:rPr>
          <w:t xml:space="preserve">artesanato, </w:t>
        </w:r>
      </w:hyperlink>
      <w:r>
        <w:rPr>
          <w:rFonts w:eastAsia="Times New Roman"/>
          <w:sz w:val="24"/>
          <w:szCs w:val="24"/>
        </w:rPr>
        <w:t xml:space="preserve">dos caracteres emocionais e das festas populares do Brasil, assim como centenas de palavras que foram incorporadas ao vocabulário da Língua Portuguesa. É evidente que algumas regiões receberam maior contribuição desses povos: os Estados da Região </w:t>
      </w:r>
      <w:hyperlink r:id="rId20">
        <w:r>
          <w:rPr>
            <w:rFonts w:eastAsia="Times New Roman"/>
            <w:sz w:val="24"/>
            <w:szCs w:val="24"/>
          </w:rPr>
          <w:t xml:space="preserve">Norte </w:t>
        </w:r>
      </w:hyperlink>
      <w:r>
        <w:rPr>
          <w:rFonts w:eastAsia="Times New Roman"/>
          <w:sz w:val="24"/>
          <w:szCs w:val="24"/>
        </w:rPr>
        <w:t xml:space="preserve">apresentam forte influência das culturas indígenas, enquanto que algumas partes do </w:t>
      </w:r>
      <w:hyperlink r:id="rId21">
        <w:r>
          <w:rPr>
            <w:rFonts w:eastAsia="Times New Roman"/>
            <w:sz w:val="24"/>
            <w:szCs w:val="24"/>
          </w:rPr>
          <w:t xml:space="preserve">Nordeste </w:t>
        </w:r>
      </w:hyperlink>
      <w:r>
        <w:rPr>
          <w:rFonts w:eastAsia="Times New Roman"/>
          <w:sz w:val="24"/>
          <w:szCs w:val="24"/>
        </w:rPr>
        <w:t xml:space="preserve">apresentam cultura bastante africanizada, sendo que, em outras, principalmente no </w:t>
      </w:r>
      <w:hyperlink r:id="rId22">
        <w:r>
          <w:rPr>
            <w:rFonts w:eastAsia="Times New Roman"/>
            <w:sz w:val="24"/>
            <w:szCs w:val="24"/>
          </w:rPr>
          <w:t xml:space="preserve">sertão, </w:t>
        </w:r>
      </w:hyperlink>
      <w:r>
        <w:rPr>
          <w:rFonts w:eastAsia="Times New Roman"/>
          <w:sz w:val="24"/>
          <w:szCs w:val="24"/>
        </w:rPr>
        <w:t xml:space="preserve">há uma intensa e antiga mescla de caracteres </w:t>
      </w:r>
      <w:hyperlink r:id="rId23">
        <w:r>
          <w:rPr>
            <w:rFonts w:eastAsia="Times New Roman"/>
            <w:sz w:val="24"/>
            <w:szCs w:val="24"/>
          </w:rPr>
          <w:t xml:space="preserve">lusitanos </w:t>
        </w:r>
      </w:hyperlink>
      <w:r>
        <w:rPr>
          <w:rFonts w:eastAsia="Times New Roman"/>
          <w:sz w:val="24"/>
          <w:szCs w:val="24"/>
        </w:rPr>
        <w:t>e indígenas, com menor participação africana.</w:t>
      </w:r>
    </w:p>
    <w:p w:rsidR="00E5386C" w:rsidRDefault="00E5386C">
      <w:pPr>
        <w:spacing w:line="19" w:lineRule="exact"/>
        <w:rPr>
          <w:rFonts w:eastAsia="Times New Roman"/>
          <w:sz w:val="24"/>
          <w:szCs w:val="24"/>
        </w:rPr>
      </w:pPr>
    </w:p>
    <w:p w:rsidR="00E5386C" w:rsidRDefault="0019202F">
      <w:pPr>
        <w:spacing w:line="35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Assim, o sincretismo no Brasil, segundo Ronaldo </w:t>
      </w:r>
      <w:proofErr w:type="spellStart"/>
      <w:r>
        <w:rPr>
          <w:rFonts w:eastAsia="Times New Roman"/>
          <w:sz w:val="24"/>
          <w:szCs w:val="24"/>
        </w:rPr>
        <w:t>Vainfas</w:t>
      </w:r>
      <w:proofErr w:type="spellEnd"/>
      <w:r>
        <w:rPr>
          <w:rFonts w:eastAsia="Times New Roman"/>
          <w:sz w:val="24"/>
          <w:szCs w:val="24"/>
        </w:rPr>
        <w:t xml:space="preserve"> e Juliana Beatriz de Souza (2000), começa a se formar logo nos primeiros momentos da colonização. Desembarcaram aqui junto aos navegadores, também a igreja e a tradição católica de Portugal, que expressa seu desejo de expandir-se para a América. A partir desse desejo de expansão era, então, preciso ensinar aos índios a fé cristã, de modo a criar no Brasil uma extensão da cristandade europeia. Para cumprir tal missão vieram os jesuítas, que com a catequização criaram uma logística própria que incluía os aldeamentos, uma identificação da Bíblia com o imaginário dos nativos. O caso das “santidades” mostra como rituais indígenas misturavam-se a conceitos da fé católica resultando em pregações de cunho messiânico.</w:t>
      </w:r>
    </w:p>
    <w:p w:rsidR="00E5386C" w:rsidRDefault="00E5386C">
      <w:pPr>
        <w:spacing w:line="20" w:lineRule="exact"/>
        <w:rPr>
          <w:rFonts w:eastAsia="Times New Roman"/>
          <w:sz w:val="24"/>
          <w:szCs w:val="24"/>
        </w:rPr>
      </w:pPr>
    </w:p>
    <w:p w:rsidR="00E5386C" w:rsidRDefault="0019202F">
      <w:pPr>
        <w:spacing w:line="35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Percebe-se, então, que a convivência entre catolicismo, ritos indígenas e, posteriormente, práticas das religiões de Matriz Africana vindas para o Brasil com os povos escravizados, criou uma barreira muito tênue entre o permitido e o proibido para os colonos católicos. Segundo os autores, a escravidão teria contribuído para a manutenção e popularização dos cultos de origem africana no Brasil, o qual incorporou vários aspectos do catolicismo e dos ritos indígenas.</w:t>
      </w:r>
    </w:p>
    <w:p w:rsidR="00E5386C" w:rsidRDefault="00E5386C">
      <w:pPr>
        <w:spacing w:line="21" w:lineRule="exact"/>
        <w:rPr>
          <w:rFonts w:eastAsia="Times New Roman"/>
          <w:sz w:val="24"/>
          <w:szCs w:val="24"/>
        </w:rPr>
      </w:pPr>
    </w:p>
    <w:p w:rsidR="00E5386C" w:rsidRDefault="0019202F">
      <w:pPr>
        <w:spacing w:line="358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Desse modo, associações de caráter locais, as irmandades negras contribuíram para forjar a polissemia e sincretismo religioso brasileiro. Impedidos de frequentar espaços que expressavam a religião católica dos brancos, as irmandades representavam uma das poucas formas de associação permitidas aos negros no contexto colonial. As irmandades negras surgiram como forma de conferir </w:t>
      </w:r>
      <w:r>
        <w:rPr>
          <w:rFonts w:eastAsia="Times New Roman"/>
          <w:i/>
          <w:iCs/>
          <w:sz w:val="24"/>
          <w:szCs w:val="24"/>
        </w:rPr>
        <w:t>status</w:t>
      </w:r>
      <w:r>
        <w:rPr>
          <w:rFonts w:eastAsia="Times New Roman"/>
          <w:sz w:val="24"/>
          <w:szCs w:val="24"/>
        </w:rPr>
        <w:t xml:space="preserve"> e proteção aos seus membros, sendo responsáveis pela construção de capelas, organização de festas religiosas e pela compra de alforrias de seus irmãos, oficialmente auxiliando a ação da igreja e demonstrando a eficácia da cristianização da população escravizada. Entretanto, ao organizarem-se, geralmente, em torno da devoção a um santo específico, a qual assumiu múltiplos significados, incorporando ritos e cultos </w:t>
      </w:r>
      <w:proofErr w:type="gramStart"/>
      <w:r>
        <w:rPr>
          <w:rFonts w:eastAsia="Times New Roman"/>
          <w:sz w:val="24"/>
          <w:szCs w:val="24"/>
        </w:rPr>
        <w:t>aos</w:t>
      </w:r>
      <w:proofErr w:type="gramEnd"/>
    </w:p>
    <w:p w:rsidR="00E5386C" w:rsidRDefault="00E5386C">
      <w:pPr>
        <w:sectPr w:rsidR="00E5386C" w:rsidSect="000E1A1E">
          <w:pgSz w:w="11900" w:h="16838"/>
          <w:pgMar w:top="901" w:right="1120" w:bottom="1440" w:left="1700" w:header="0" w:footer="471" w:gutter="0"/>
          <w:cols w:space="720" w:equalWidth="0">
            <w:col w:w="9080"/>
          </w:cols>
          <w:docGrid w:linePitch="299"/>
        </w:sectPr>
      </w:pPr>
    </w:p>
    <w:p w:rsidR="00E5386C" w:rsidRDefault="00E5386C">
      <w:pPr>
        <w:spacing w:line="200" w:lineRule="exact"/>
        <w:rPr>
          <w:sz w:val="20"/>
          <w:szCs w:val="20"/>
        </w:rPr>
      </w:pPr>
      <w:bookmarkStart w:id="2" w:name="page3"/>
      <w:bookmarkEnd w:id="2"/>
    </w:p>
    <w:p w:rsidR="00E5386C" w:rsidRDefault="00E5386C">
      <w:pPr>
        <w:spacing w:line="270" w:lineRule="exact"/>
        <w:rPr>
          <w:sz w:val="20"/>
          <w:szCs w:val="20"/>
        </w:rPr>
      </w:pPr>
    </w:p>
    <w:p w:rsidR="00E5386C" w:rsidRDefault="0019202F">
      <w:pPr>
        <w:spacing w:line="348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deuses</w:t>
      </w:r>
      <w:proofErr w:type="gramEnd"/>
      <w:r>
        <w:rPr>
          <w:rFonts w:eastAsia="Times New Roman"/>
          <w:sz w:val="24"/>
          <w:szCs w:val="24"/>
        </w:rPr>
        <w:t xml:space="preserve"> africanos, permitiu o nascimento de práticas religiosas de matriz africana como o </w:t>
      </w:r>
      <w:proofErr w:type="spellStart"/>
      <w:r>
        <w:rPr>
          <w:rFonts w:eastAsia="Times New Roman"/>
          <w:sz w:val="24"/>
          <w:szCs w:val="24"/>
        </w:rPr>
        <w:t>Acontundá</w:t>
      </w:r>
      <w:proofErr w:type="spellEnd"/>
      <w:r>
        <w:rPr>
          <w:rFonts w:eastAsia="Times New Roman"/>
          <w:sz w:val="24"/>
          <w:szCs w:val="24"/>
        </w:rPr>
        <w:t>, o Candomblé e o Calundu.</w:t>
      </w:r>
    </w:p>
    <w:p w:rsidR="00E5386C" w:rsidRDefault="00E5386C">
      <w:pPr>
        <w:spacing w:line="28" w:lineRule="exact"/>
        <w:rPr>
          <w:sz w:val="20"/>
          <w:szCs w:val="20"/>
        </w:rPr>
      </w:pPr>
    </w:p>
    <w:p w:rsidR="00E5386C" w:rsidRDefault="0019202F">
      <w:pPr>
        <w:spacing w:line="349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Para tanto, muitos indivíduos que, oficialmente, cultuavam, por exemplo, São José, na capela erguida pela irmandade negra, dentro do âmbito do </w:t>
      </w:r>
      <w:proofErr w:type="spellStart"/>
      <w:r>
        <w:rPr>
          <w:rFonts w:eastAsia="Times New Roman"/>
          <w:sz w:val="24"/>
          <w:szCs w:val="24"/>
        </w:rPr>
        <w:t>acontundá</w:t>
      </w:r>
      <w:proofErr w:type="spellEnd"/>
      <w:r>
        <w:rPr>
          <w:rFonts w:eastAsia="Times New Roman"/>
          <w:sz w:val="24"/>
          <w:szCs w:val="24"/>
        </w:rPr>
        <w:t>, clandestinamente dançavam em frente a uma imagem semelhante ao som do tambor em casas simples com paredes de barro cobertas de capim, utilizando palavras extraídas de textos católicos, mescladas a um dialeto da Costa da Mina (atual Gana). Um sincretismo que se tornaria típico do povo brasileiro, também presente no Candomblé, onde o rito do Deus africano Coura e a devoção a Nossa Senhora do Rosário se fundiram, fornecendo um valioso exemplo da simbiose religiosa no Brasil. “As irmandades se encarregavam da evangelização e propagação dos valores cristãos, do culto aos santos e a Virgem, bem como de rezas e procissões – as quais foram um elemento de celebração e integração usado desde os primórdios da colonização pelos jesuítas”</w:t>
      </w:r>
      <w:proofErr w:type="gramStart"/>
      <w:r>
        <w:rPr>
          <w:rFonts w:eastAsia="Times New Roman"/>
          <w:sz w:val="32"/>
          <w:szCs w:val="32"/>
          <w:vertAlign w:val="superscript"/>
        </w:rPr>
        <w:t>2</w:t>
      </w:r>
      <w:proofErr w:type="gramEnd"/>
      <w:r>
        <w:rPr>
          <w:rFonts w:eastAsia="Times New Roman"/>
          <w:sz w:val="24"/>
          <w:szCs w:val="24"/>
        </w:rPr>
        <w:t>.</w:t>
      </w:r>
    </w:p>
    <w:p w:rsidR="00E5386C" w:rsidRDefault="00E5386C">
      <w:pPr>
        <w:spacing w:line="5" w:lineRule="exact"/>
        <w:rPr>
          <w:sz w:val="20"/>
          <w:szCs w:val="20"/>
        </w:rPr>
      </w:pPr>
    </w:p>
    <w:p w:rsidR="00E5386C" w:rsidRDefault="0019202F">
      <w:pPr>
        <w:spacing w:line="35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Portanto, embora o projeto colonial português fosse o de transmigrar o mundo ibérico para os trópicos, pelo menos no plano da religiosidade o que aconteceu foi o fato de diversos tipos de cultos – desde os de origem nativa até os católicos, afros e judaicos – estarem convivendo e se misturando, mutuamente, nos três primeiros séculos de ocidentalização do Novo Mundo, cujas práticas refletem até hoje na religiosidade e cultura mestiça brasileira.</w:t>
      </w: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4E0E64">
      <w:pPr>
        <w:spacing w:line="22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088AEA" wp14:editId="34C623A0">
                <wp:simplePos x="0" y="0"/>
                <wp:positionH relativeFrom="column">
                  <wp:posOffset>-42545</wp:posOffset>
                </wp:positionH>
                <wp:positionV relativeFrom="paragraph">
                  <wp:posOffset>81665</wp:posOffset>
                </wp:positionV>
                <wp:extent cx="1828800" cy="0"/>
                <wp:effectExtent l="0" t="0" r="19050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6.45pt" to="140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4E0E64" w:rsidRDefault="004E0E64" w:rsidP="004E0E64">
      <w:pPr>
        <w:spacing w:line="239" w:lineRule="auto"/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5"/>
          <w:szCs w:val="25"/>
          <w:vertAlign w:val="superscript"/>
        </w:rPr>
        <w:t>2</w:t>
      </w:r>
      <w:proofErr w:type="gramEnd"/>
      <w:r>
        <w:rPr>
          <w:rFonts w:eastAsia="Times New Roman"/>
          <w:sz w:val="20"/>
          <w:szCs w:val="20"/>
        </w:rPr>
        <w:t xml:space="preserve"> VALE, Fernanda Cristina.</w:t>
      </w:r>
    </w:p>
    <w:p w:rsidR="00656CE7" w:rsidRDefault="00656CE7">
      <w:pPr>
        <w:spacing w:line="224" w:lineRule="exact"/>
        <w:rPr>
          <w:sz w:val="20"/>
          <w:szCs w:val="20"/>
        </w:rPr>
      </w:pPr>
    </w:p>
    <w:p w:rsidR="00656CE7" w:rsidRDefault="00656CE7">
      <w:pPr>
        <w:spacing w:line="224" w:lineRule="exact"/>
        <w:rPr>
          <w:sz w:val="20"/>
          <w:szCs w:val="20"/>
        </w:rPr>
      </w:pPr>
    </w:p>
    <w:p w:rsidR="00E5386C" w:rsidRDefault="0019202F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REFERÊNCIAS</w:t>
      </w: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357" w:lineRule="exact"/>
        <w:rPr>
          <w:sz w:val="20"/>
          <w:szCs w:val="20"/>
        </w:rPr>
      </w:pPr>
    </w:p>
    <w:p w:rsidR="00E5386C" w:rsidRDefault="0019202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LARAIA, Roque de Barros. </w:t>
      </w:r>
      <w:r>
        <w:rPr>
          <w:rFonts w:eastAsia="Times New Roman"/>
          <w:b/>
          <w:bCs/>
          <w:i/>
          <w:iCs/>
          <w:sz w:val="24"/>
          <w:szCs w:val="24"/>
        </w:rPr>
        <w:t>Cultura</w:t>
      </w:r>
      <w:r>
        <w:rPr>
          <w:rFonts w:eastAsia="Times New Roman"/>
          <w:sz w:val="24"/>
          <w:szCs w:val="24"/>
        </w:rPr>
        <w:t xml:space="preserve">: Um </w:t>
      </w:r>
      <w:r>
        <w:rPr>
          <w:rFonts w:eastAsia="Times New Roman"/>
          <w:b/>
          <w:bCs/>
          <w:i/>
          <w:iCs/>
          <w:sz w:val="24"/>
          <w:szCs w:val="24"/>
        </w:rPr>
        <w:t>Conceito Antropológico</w:t>
      </w:r>
      <w:r>
        <w:rPr>
          <w:rFonts w:eastAsia="Times New Roman"/>
          <w:sz w:val="24"/>
          <w:szCs w:val="24"/>
        </w:rPr>
        <w:t>. Rio de Janeiro, Jorge Zahar, 14 Ed, 2001.</w:t>
      </w: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366" w:lineRule="exact"/>
        <w:rPr>
          <w:sz w:val="20"/>
          <w:szCs w:val="20"/>
        </w:rPr>
      </w:pPr>
    </w:p>
    <w:p w:rsidR="00E5386C" w:rsidRDefault="0019202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SOUZA, Laura de Melo e. </w:t>
      </w:r>
      <w:r>
        <w:rPr>
          <w:rFonts w:eastAsia="Times New Roman"/>
          <w:b/>
          <w:bCs/>
          <w:sz w:val="24"/>
          <w:szCs w:val="24"/>
        </w:rPr>
        <w:t>O Diabo e a Terra de Santa Cruz: feitiçaria e religiosidade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popular no Brasil Colonial. </w:t>
      </w:r>
      <w:r>
        <w:rPr>
          <w:rFonts w:eastAsia="Times New Roman"/>
          <w:sz w:val="24"/>
          <w:szCs w:val="24"/>
        </w:rPr>
        <w:t>São Paulo: Companhia das Letras, 1986.</w:t>
      </w: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366" w:lineRule="exact"/>
        <w:rPr>
          <w:sz w:val="20"/>
          <w:szCs w:val="20"/>
        </w:rPr>
      </w:pPr>
    </w:p>
    <w:p w:rsidR="00E5386C" w:rsidRDefault="0019202F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ORTIZ, Renato. Cultura Brasileira e Identidade Nacional. 5ª Ed. São Paulo: Brasiliense, 2006.</w:t>
      </w: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228" w:lineRule="exact"/>
        <w:rPr>
          <w:sz w:val="20"/>
          <w:szCs w:val="20"/>
        </w:rPr>
      </w:pPr>
    </w:p>
    <w:p w:rsidR="00E5386C" w:rsidRDefault="0019202F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VAINFAS, Ronaldo. </w:t>
      </w:r>
      <w:r>
        <w:rPr>
          <w:rFonts w:eastAsia="Times New Roman"/>
          <w:b/>
          <w:bCs/>
          <w:sz w:val="24"/>
          <w:szCs w:val="24"/>
        </w:rPr>
        <w:t>Colonização, miscigenação e questão racial: notas sobre equívocos 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tabus da historiografia brasileira. </w:t>
      </w:r>
      <w:r>
        <w:rPr>
          <w:rFonts w:eastAsia="Times New Roman"/>
          <w:sz w:val="24"/>
          <w:szCs w:val="24"/>
        </w:rPr>
        <w:t>Agosto 1999.</w:t>
      </w: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268" w:lineRule="exact"/>
        <w:rPr>
          <w:sz w:val="20"/>
          <w:szCs w:val="20"/>
        </w:rPr>
      </w:pPr>
    </w:p>
    <w:p w:rsidR="00E5386C" w:rsidRDefault="0019202F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VAINFAS, Ronaldo. SOUZA, Juliana Beatriz de. </w:t>
      </w:r>
      <w:r>
        <w:rPr>
          <w:rFonts w:eastAsia="Times New Roman"/>
          <w:b/>
          <w:bCs/>
          <w:sz w:val="24"/>
          <w:szCs w:val="24"/>
        </w:rPr>
        <w:t>Brasil de Todos os Santos.</w:t>
      </w:r>
      <w:r>
        <w:rPr>
          <w:rFonts w:eastAsia="Times New Roman"/>
          <w:sz w:val="24"/>
          <w:szCs w:val="24"/>
        </w:rPr>
        <w:t xml:space="preserve"> Rio de Janeiro: Jorge Zahar Editor, 2000.</w:t>
      </w:r>
    </w:p>
    <w:p w:rsidR="00E5386C" w:rsidRDefault="00E5386C">
      <w:pPr>
        <w:spacing w:line="200" w:lineRule="exact"/>
        <w:rPr>
          <w:sz w:val="20"/>
          <w:szCs w:val="20"/>
        </w:rPr>
      </w:pPr>
    </w:p>
    <w:p w:rsidR="00E5386C" w:rsidRDefault="00E5386C">
      <w:pPr>
        <w:spacing w:line="366" w:lineRule="exact"/>
        <w:rPr>
          <w:sz w:val="20"/>
          <w:szCs w:val="20"/>
        </w:rPr>
      </w:pPr>
    </w:p>
    <w:p w:rsidR="00E5386C" w:rsidRDefault="0019202F">
      <w:pPr>
        <w:spacing w:line="234" w:lineRule="auto"/>
        <w:ind w:right="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VALE,</w:t>
      </w:r>
      <w:proofErr w:type="gramEnd"/>
      <w:r>
        <w:rPr>
          <w:rFonts w:eastAsia="Times New Roman"/>
          <w:sz w:val="24"/>
          <w:szCs w:val="24"/>
        </w:rPr>
        <w:t xml:space="preserve"> Fernanda Cristina. Resenha do livro de VAINFAS, Ronaldo. SOUZA, Juliana Beatriz de. </w:t>
      </w:r>
      <w:r>
        <w:rPr>
          <w:rFonts w:eastAsia="Times New Roman"/>
          <w:b/>
          <w:bCs/>
          <w:sz w:val="24"/>
          <w:szCs w:val="24"/>
        </w:rPr>
        <w:t>Brasil de Todos os Santos.</w:t>
      </w:r>
      <w:r>
        <w:rPr>
          <w:rFonts w:eastAsia="Times New Roman"/>
          <w:sz w:val="24"/>
          <w:szCs w:val="24"/>
        </w:rPr>
        <w:t xml:space="preserve"> Rio de Janeiro: Jorge Zahar Editor, 2000.</w:t>
      </w:r>
    </w:p>
    <w:sectPr w:rsidR="00E5386C" w:rsidSect="00656CE7">
      <w:pgSz w:w="11900" w:h="16838"/>
      <w:pgMar w:top="901" w:right="1120" w:bottom="1440" w:left="1700" w:header="0" w:footer="329" w:gutter="0"/>
      <w:cols w:space="720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E2C" w:rsidRDefault="00E76E2C" w:rsidP="00C60C9E">
      <w:r>
        <w:separator/>
      </w:r>
    </w:p>
  </w:endnote>
  <w:endnote w:type="continuationSeparator" w:id="0">
    <w:p w:rsidR="00E76E2C" w:rsidRDefault="00E76E2C" w:rsidP="00C6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A4" w:rsidRDefault="00331F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1E" w:rsidRDefault="000E1A1E" w:rsidP="000E1A1E">
    <w:pPr>
      <w:pStyle w:val="Rodap"/>
    </w:pPr>
    <w:r>
      <w:rPr>
        <w:b/>
        <w:sz w:val="20"/>
        <w:szCs w:val="20"/>
      </w:rPr>
      <w:t xml:space="preserve">                                           </w:t>
    </w:r>
    <w:r w:rsidRPr="002070EB">
      <w:rPr>
        <w:b/>
        <w:sz w:val="20"/>
        <w:szCs w:val="20"/>
      </w:rPr>
      <w:t xml:space="preserve">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331FA4">
      <w:rPr>
        <w:noProof/>
        <w:sz w:val="20"/>
        <w:szCs w:val="20"/>
      </w:rPr>
      <w:t>292</w:t>
    </w:r>
    <w:r w:rsidRPr="002070EB">
      <w:rPr>
        <w:sz w:val="20"/>
        <w:szCs w:val="20"/>
      </w:rPr>
      <w:fldChar w:fldCharType="end"/>
    </w:r>
    <w:r w:rsidR="00331FA4">
      <w:rPr>
        <w:sz w:val="20"/>
        <w:szCs w:val="20"/>
      </w:rPr>
      <w:t>- 294</w:t>
    </w:r>
    <w:bookmarkStart w:id="0" w:name="_GoBack"/>
    <w:bookmarkEnd w:id="0"/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331FA4">
      <w:rPr>
        <w:noProof/>
        <w:sz w:val="20"/>
        <w:szCs w:val="20"/>
      </w:rPr>
      <w:t>292</w:t>
    </w:r>
    <w:r w:rsidRPr="002070EB">
      <w:rPr>
        <w:sz w:val="20"/>
        <w:szCs w:val="20"/>
      </w:rPr>
      <w:fldChar w:fldCharType="end"/>
    </w:r>
  </w:p>
  <w:p w:rsidR="000E1A1E" w:rsidRDefault="000E1A1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1E" w:rsidRDefault="000E1A1E">
    <w:pPr>
      <w:pStyle w:val="Rodap"/>
    </w:pPr>
    <w:r>
      <w:rPr>
        <w:b/>
        <w:sz w:val="20"/>
        <w:szCs w:val="20"/>
      </w:rPr>
      <w:t xml:space="preserve">                                           </w:t>
    </w:r>
    <w:r w:rsidRPr="002070EB">
      <w:rPr>
        <w:b/>
        <w:sz w:val="20"/>
        <w:szCs w:val="20"/>
      </w:rPr>
      <w:t xml:space="preserve">Revista </w:t>
    </w:r>
    <w:proofErr w:type="spellStart"/>
    <w:r w:rsidRPr="002070EB">
      <w:rPr>
        <w:b/>
        <w:sz w:val="20"/>
        <w:szCs w:val="20"/>
      </w:rPr>
      <w:t>Includere</w:t>
    </w:r>
    <w:proofErr w:type="spellEnd"/>
    <w:r w:rsidRPr="002070EB">
      <w:rPr>
        <w:sz w:val="20"/>
        <w:szCs w:val="20"/>
      </w:rPr>
      <w:t xml:space="preserve">, Mossoró, v. 2, n. 2, p.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</w:instrText>
    </w:r>
    <w:r w:rsidRPr="002070EB">
      <w:rPr>
        <w:sz w:val="20"/>
        <w:szCs w:val="20"/>
      </w:rPr>
      <w:fldChar w:fldCharType="separate"/>
    </w:r>
    <w:r w:rsidR="00331FA4">
      <w:rPr>
        <w:noProof/>
        <w:sz w:val="20"/>
        <w:szCs w:val="20"/>
      </w:rPr>
      <w:t>291</w:t>
    </w:r>
    <w:r w:rsidRPr="002070EB">
      <w:rPr>
        <w:sz w:val="20"/>
        <w:szCs w:val="20"/>
      </w:rPr>
      <w:fldChar w:fldCharType="end"/>
    </w:r>
    <w:r w:rsidR="00331FA4">
      <w:rPr>
        <w:sz w:val="20"/>
        <w:szCs w:val="20"/>
      </w:rPr>
      <w:t>- 294</w:t>
    </w:r>
    <w:r w:rsidRPr="002070EB">
      <w:rPr>
        <w:sz w:val="20"/>
        <w:szCs w:val="20"/>
      </w:rPr>
      <w:t xml:space="preserve">, Ed. 1, 2016 </w:t>
    </w:r>
    <w:r w:rsidRPr="002070EB">
      <w:rPr>
        <w:sz w:val="20"/>
        <w:szCs w:val="20"/>
      </w:rPr>
      <w:tab/>
      <w:t xml:space="preserve">     </w:t>
    </w:r>
    <w:r w:rsidRPr="002070EB">
      <w:rPr>
        <w:sz w:val="20"/>
        <w:szCs w:val="20"/>
      </w:rPr>
      <w:fldChar w:fldCharType="begin"/>
    </w:r>
    <w:r w:rsidRPr="002070EB">
      <w:rPr>
        <w:sz w:val="20"/>
        <w:szCs w:val="20"/>
      </w:rPr>
      <w:instrText>PAGE   \* MERGEFORMAT</w:instrText>
    </w:r>
    <w:r w:rsidRPr="002070EB">
      <w:rPr>
        <w:sz w:val="20"/>
        <w:szCs w:val="20"/>
      </w:rPr>
      <w:fldChar w:fldCharType="separate"/>
    </w:r>
    <w:r w:rsidR="00331FA4">
      <w:rPr>
        <w:noProof/>
        <w:sz w:val="20"/>
        <w:szCs w:val="20"/>
      </w:rPr>
      <w:t>291</w:t>
    </w:r>
    <w:r w:rsidRPr="002070E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E2C" w:rsidRDefault="00E76E2C" w:rsidP="00C60C9E">
      <w:r>
        <w:separator/>
      </w:r>
    </w:p>
  </w:footnote>
  <w:footnote w:type="continuationSeparator" w:id="0">
    <w:p w:rsidR="00E76E2C" w:rsidRDefault="00E76E2C" w:rsidP="00C6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A4" w:rsidRDefault="00331F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EAF" w:rsidRDefault="00743EAF" w:rsidP="00656CE7">
    <w:pPr>
      <w:pStyle w:val="Cabealho"/>
      <w:jc w:val="center"/>
    </w:pPr>
  </w:p>
  <w:p w:rsidR="00201C04" w:rsidRDefault="00201C04" w:rsidP="00656CE7">
    <w:pPr>
      <w:pStyle w:val="Cabealho"/>
      <w:tabs>
        <w:tab w:val="clear" w:pos="4252"/>
        <w:tab w:val="clear" w:pos="8504"/>
        <w:tab w:val="left" w:pos="3045"/>
      </w:tabs>
      <w:jc w:val="center"/>
    </w:pPr>
  </w:p>
  <w:p w:rsidR="00A526E4" w:rsidRPr="00BA2DC5" w:rsidRDefault="00A526E4" w:rsidP="00656CE7">
    <w:pPr>
      <w:jc w:val="center"/>
      <w:rPr>
        <w:sz w:val="16"/>
        <w:szCs w:val="16"/>
      </w:rPr>
    </w:pPr>
    <w:r w:rsidRPr="00BA2DC5">
      <w:rPr>
        <w:rFonts w:eastAsia="Times New Roman"/>
        <w:bCs/>
        <w:sz w:val="16"/>
        <w:szCs w:val="16"/>
      </w:rPr>
      <w:t>UM NOVO OLHAR SOBRE A RELIGIOSIDADE E CULTURA AFRO-</w:t>
    </w:r>
    <w:r w:rsidR="00BA2DC5">
      <w:rPr>
        <w:rFonts w:eastAsia="Times New Roman"/>
        <w:bCs/>
        <w:sz w:val="16"/>
        <w:szCs w:val="16"/>
      </w:rPr>
      <w:t xml:space="preserve"> </w:t>
    </w:r>
    <w:r w:rsidRPr="00BA2DC5">
      <w:rPr>
        <w:rFonts w:eastAsia="Times New Roman"/>
        <w:bCs/>
        <w:sz w:val="16"/>
        <w:szCs w:val="16"/>
      </w:rPr>
      <w:t>BRASILEIRA: QUESTÕES ÉTNICAS.</w:t>
    </w:r>
  </w:p>
  <w:p w:rsidR="00201C04" w:rsidRPr="00BA2DC5" w:rsidRDefault="00201C04" w:rsidP="00656CE7">
    <w:pPr>
      <w:pStyle w:val="Cabealho"/>
      <w:jc w:val="center"/>
      <w:rPr>
        <w:rFonts w:eastAsia="Times New Roman"/>
        <w:sz w:val="16"/>
        <w:szCs w:val="16"/>
      </w:rPr>
    </w:pPr>
  </w:p>
  <w:p w:rsidR="00A526E4" w:rsidRPr="00BA2DC5" w:rsidRDefault="00201C04" w:rsidP="00656CE7">
    <w:pPr>
      <w:pStyle w:val="Cabealho"/>
      <w:jc w:val="center"/>
      <w:rPr>
        <w:sz w:val="16"/>
        <w:szCs w:val="16"/>
      </w:rPr>
    </w:pPr>
    <w:r w:rsidRPr="00BA2DC5">
      <w:rPr>
        <w:rFonts w:eastAsia="Times New Roman"/>
        <w:sz w:val="16"/>
        <w:szCs w:val="16"/>
      </w:rPr>
      <w:t>N. A.</w:t>
    </w:r>
    <w:r w:rsidR="00BA2DC5">
      <w:rPr>
        <w:rFonts w:eastAsia="Times New Roman"/>
        <w:sz w:val="16"/>
        <w:szCs w:val="16"/>
      </w:rPr>
      <w:t xml:space="preserve"> DE</w:t>
    </w:r>
    <w:r w:rsidR="00A526E4" w:rsidRPr="00BA2DC5">
      <w:rPr>
        <w:rFonts w:eastAsia="Times New Roman"/>
        <w:sz w:val="16"/>
        <w:szCs w:val="16"/>
      </w:rPr>
      <w:t xml:space="preserve"> OLIVEIRA</w:t>
    </w:r>
  </w:p>
  <w:p w:rsidR="00A526E4" w:rsidRDefault="00A526E4" w:rsidP="00656CE7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E4" w:rsidRDefault="00A526E4">
    <w:pPr>
      <w:pStyle w:val="Cabealho"/>
    </w:pPr>
  </w:p>
  <w:p w:rsidR="00201C04" w:rsidRDefault="00201C04">
    <w:pPr>
      <w:pStyle w:val="Cabealho"/>
    </w:pPr>
  </w:p>
  <w:p w:rsidR="00201C04" w:rsidRPr="002070EB" w:rsidRDefault="00201C04" w:rsidP="00201C04">
    <w:pPr>
      <w:pStyle w:val="Cabealho"/>
      <w:pBdr>
        <w:bottom w:val="single" w:sz="12" w:space="1" w:color="auto"/>
      </w:pBdr>
      <w:tabs>
        <w:tab w:val="clear" w:pos="8504"/>
        <w:tab w:val="left" w:pos="7088"/>
      </w:tabs>
      <w:rPr>
        <w:sz w:val="20"/>
        <w:szCs w:val="20"/>
      </w:rPr>
    </w:pPr>
    <w:r w:rsidRPr="002070EB">
      <w:rPr>
        <w:sz w:val="20"/>
        <w:szCs w:val="20"/>
      </w:rPr>
      <w:t xml:space="preserve">Universidade Federal Rural do Semi-Árido                                                                                                     Coordenação Geral de Ação Afirmativa, Diversidade e Inclusão Social               </w:t>
    </w:r>
    <w:proofErr w:type="gramStart"/>
    <w:r w:rsidRPr="00C919B0">
      <w:rPr>
        <w:sz w:val="20"/>
        <w:szCs w:val="20"/>
      </w:rPr>
      <w:t>http://periodicos.ufersa.edu.br/revistas/index.</w:t>
    </w:r>
    <w:proofErr w:type="gramEnd"/>
    <w:r w:rsidRPr="00C919B0">
      <w:rPr>
        <w:sz w:val="20"/>
        <w:szCs w:val="20"/>
      </w:rPr>
      <w:t>php/includere</w:t>
    </w:r>
    <w:r>
      <w:rPr>
        <w:sz w:val="20"/>
        <w:szCs w:val="20"/>
      </w:rPr>
      <w:tab/>
      <w:t xml:space="preserve">            </w:t>
    </w:r>
    <w:r w:rsidRPr="002070EB">
      <w:rPr>
        <w:sz w:val="20"/>
        <w:szCs w:val="20"/>
      </w:rPr>
      <w:t>ISSN 2359-5566</w:t>
    </w:r>
  </w:p>
  <w:p w:rsidR="00201C04" w:rsidRPr="002070EB" w:rsidRDefault="00201C04" w:rsidP="00201C04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1941"/>
      </w:tabs>
      <w:rPr>
        <w:sz w:val="24"/>
        <w:szCs w:val="24"/>
      </w:rPr>
    </w:pPr>
    <w:r>
      <w:rPr>
        <w:sz w:val="24"/>
        <w:szCs w:val="24"/>
      </w:rPr>
      <w:tab/>
    </w:r>
  </w:p>
  <w:p w:rsidR="00201C04" w:rsidRDefault="00201C0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60A07668"/>
    <w:lvl w:ilvl="0" w:tplc="D22EAAE4">
      <w:start w:val="61"/>
      <w:numFmt w:val="upperLetter"/>
      <w:lvlText w:val="%1"/>
      <w:lvlJc w:val="left"/>
    </w:lvl>
    <w:lvl w:ilvl="1" w:tplc="9446CE9A">
      <w:start w:val="1"/>
      <w:numFmt w:val="upperLetter"/>
      <w:lvlText w:val="%2"/>
      <w:lvlJc w:val="left"/>
    </w:lvl>
    <w:lvl w:ilvl="2" w:tplc="A94A164E">
      <w:numFmt w:val="decimal"/>
      <w:lvlText w:val=""/>
      <w:lvlJc w:val="left"/>
    </w:lvl>
    <w:lvl w:ilvl="3" w:tplc="04C41342">
      <w:numFmt w:val="decimal"/>
      <w:lvlText w:val=""/>
      <w:lvlJc w:val="left"/>
    </w:lvl>
    <w:lvl w:ilvl="4" w:tplc="2EBEBEB0">
      <w:numFmt w:val="decimal"/>
      <w:lvlText w:val=""/>
      <w:lvlJc w:val="left"/>
    </w:lvl>
    <w:lvl w:ilvl="5" w:tplc="05284EC8">
      <w:numFmt w:val="decimal"/>
      <w:lvlText w:val=""/>
      <w:lvlJc w:val="left"/>
    </w:lvl>
    <w:lvl w:ilvl="6" w:tplc="B5AC287A">
      <w:numFmt w:val="decimal"/>
      <w:lvlText w:val=""/>
      <w:lvlJc w:val="left"/>
    </w:lvl>
    <w:lvl w:ilvl="7" w:tplc="209EB9A0">
      <w:numFmt w:val="decimal"/>
      <w:lvlText w:val=""/>
      <w:lvlJc w:val="left"/>
    </w:lvl>
    <w:lvl w:ilvl="8" w:tplc="D8E6B0E6">
      <w:numFmt w:val="decimal"/>
      <w:lvlText w:val=""/>
      <w:lvlJc w:val="left"/>
    </w:lvl>
  </w:abstractNum>
  <w:abstractNum w:abstractNumId="1">
    <w:nsid w:val="2AE8944A"/>
    <w:multiLevelType w:val="hybridMultilevel"/>
    <w:tmpl w:val="122C9790"/>
    <w:lvl w:ilvl="0" w:tplc="13F050DC">
      <w:start w:val="61"/>
      <w:numFmt w:val="upperLetter"/>
      <w:lvlText w:val="%1"/>
      <w:lvlJc w:val="left"/>
    </w:lvl>
    <w:lvl w:ilvl="1" w:tplc="91FC0346">
      <w:start w:val="1"/>
      <w:numFmt w:val="upperLetter"/>
      <w:lvlText w:val="%2"/>
      <w:lvlJc w:val="left"/>
    </w:lvl>
    <w:lvl w:ilvl="2" w:tplc="F176CEEA">
      <w:numFmt w:val="decimal"/>
      <w:lvlText w:val=""/>
      <w:lvlJc w:val="left"/>
    </w:lvl>
    <w:lvl w:ilvl="3" w:tplc="612E84B6">
      <w:numFmt w:val="decimal"/>
      <w:lvlText w:val=""/>
      <w:lvlJc w:val="left"/>
    </w:lvl>
    <w:lvl w:ilvl="4" w:tplc="E3B680BA">
      <w:numFmt w:val="decimal"/>
      <w:lvlText w:val=""/>
      <w:lvlJc w:val="left"/>
    </w:lvl>
    <w:lvl w:ilvl="5" w:tplc="F8B01254">
      <w:numFmt w:val="decimal"/>
      <w:lvlText w:val=""/>
      <w:lvlJc w:val="left"/>
    </w:lvl>
    <w:lvl w:ilvl="6" w:tplc="5DB083AA">
      <w:numFmt w:val="decimal"/>
      <w:lvlText w:val=""/>
      <w:lvlJc w:val="left"/>
    </w:lvl>
    <w:lvl w:ilvl="7" w:tplc="A7C2475A">
      <w:numFmt w:val="decimal"/>
      <w:lvlText w:val=""/>
      <w:lvlJc w:val="left"/>
    </w:lvl>
    <w:lvl w:ilvl="8" w:tplc="A0F67498">
      <w:numFmt w:val="decimal"/>
      <w:lvlText w:val=""/>
      <w:lvlJc w:val="left"/>
    </w:lvl>
  </w:abstractNum>
  <w:abstractNum w:abstractNumId="2">
    <w:nsid w:val="625558EC"/>
    <w:multiLevelType w:val="hybridMultilevel"/>
    <w:tmpl w:val="9002141A"/>
    <w:lvl w:ilvl="0" w:tplc="ABB4C7FC">
      <w:start w:val="61"/>
      <w:numFmt w:val="upperLetter"/>
      <w:lvlText w:val="%1"/>
      <w:lvlJc w:val="left"/>
    </w:lvl>
    <w:lvl w:ilvl="1" w:tplc="AE50D526">
      <w:start w:val="1"/>
      <w:numFmt w:val="upperLetter"/>
      <w:lvlText w:val="%2"/>
      <w:lvlJc w:val="left"/>
    </w:lvl>
    <w:lvl w:ilvl="2" w:tplc="B03C939A">
      <w:numFmt w:val="decimal"/>
      <w:lvlText w:val=""/>
      <w:lvlJc w:val="left"/>
    </w:lvl>
    <w:lvl w:ilvl="3" w:tplc="045C79DC">
      <w:numFmt w:val="decimal"/>
      <w:lvlText w:val=""/>
      <w:lvlJc w:val="left"/>
    </w:lvl>
    <w:lvl w:ilvl="4" w:tplc="7F8EF6EA">
      <w:numFmt w:val="decimal"/>
      <w:lvlText w:val=""/>
      <w:lvlJc w:val="left"/>
    </w:lvl>
    <w:lvl w:ilvl="5" w:tplc="1DE42A06">
      <w:numFmt w:val="decimal"/>
      <w:lvlText w:val=""/>
      <w:lvlJc w:val="left"/>
    </w:lvl>
    <w:lvl w:ilvl="6" w:tplc="90CA1160">
      <w:numFmt w:val="decimal"/>
      <w:lvlText w:val=""/>
      <w:lvlJc w:val="left"/>
    </w:lvl>
    <w:lvl w:ilvl="7" w:tplc="F4748DCE">
      <w:numFmt w:val="decimal"/>
      <w:lvlText w:val=""/>
      <w:lvlJc w:val="left"/>
    </w:lvl>
    <w:lvl w:ilvl="8" w:tplc="842AC23C">
      <w:numFmt w:val="decimal"/>
      <w:lvlText w:val=""/>
      <w:lvlJc w:val="left"/>
    </w:lvl>
  </w:abstractNum>
  <w:abstractNum w:abstractNumId="3">
    <w:nsid w:val="74B0DC51"/>
    <w:multiLevelType w:val="hybridMultilevel"/>
    <w:tmpl w:val="C68EB470"/>
    <w:lvl w:ilvl="0" w:tplc="BF3E2BB6">
      <w:start w:val="61"/>
      <w:numFmt w:val="upperLetter"/>
      <w:lvlText w:val="%1"/>
      <w:lvlJc w:val="left"/>
    </w:lvl>
    <w:lvl w:ilvl="1" w:tplc="46627AAC">
      <w:start w:val="1"/>
      <w:numFmt w:val="upperLetter"/>
      <w:lvlText w:val="%2"/>
      <w:lvlJc w:val="left"/>
    </w:lvl>
    <w:lvl w:ilvl="2" w:tplc="B712CCF2">
      <w:numFmt w:val="decimal"/>
      <w:lvlText w:val=""/>
      <w:lvlJc w:val="left"/>
    </w:lvl>
    <w:lvl w:ilvl="3" w:tplc="F86623D6">
      <w:numFmt w:val="decimal"/>
      <w:lvlText w:val=""/>
      <w:lvlJc w:val="left"/>
    </w:lvl>
    <w:lvl w:ilvl="4" w:tplc="1132E732">
      <w:numFmt w:val="decimal"/>
      <w:lvlText w:val=""/>
      <w:lvlJc w:val="left"/>
    </w:lvl>
    <w:lvl w:ilvl="5" w:tplc="F4E800A4">
      <w:numFmt w:val="decimal"/>
      <w:lvlText w:val=""/>
      <w:lvlJc w:val="left"/>
    </w:lvl>
    <w:lvl w:ilvl="6" w:tplc="0672AB9C">
      <w:numFmt w:val="decimal"/>
      <w:lvlText w:val=""/>
      <w:lvlJc w:val="left"/>
    </w:lvl>
    <w:lvl w:ilvl="7" w:tplc="24949BE0">
      <w:numFmt w:val="decimal"/>
      <w:lvlText w:val=""/>
      <w:lvlJc w:val="left"/>
    </w:lvl>
    <w:lvl w:ilvl="8" w:tplc="67F0CB86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6C"/>
    <w:rsid w:val="00040002"/>
    <w:rsid w:val="000D1B21"/>
    <w:rsid w:val="000E1A1E"/>
    <w:rsid w:val="0019202F"/>
    <w:rsid w:val="00201C04"/>
    <w:rsid w:val="002160EA"/>
    <w:rsid w:val="00331FA4"/>
    <w:rsid w:val="004528B9"/>
    <w:rsid w:val="004E0E64"/>
    <w:rsid w:val="00583141"/>
    <w:rsid w:val="00656CE7"/>
    <w:rsid w:val="00743EAF"/>
    <w:rsid w:val="009E4ED1"/>
    <w:rsid w:val="00A526E4"/>
    <w:rsid w:val="00AA1831"/>
    <w:rsid w:val="00BA2DC5"/>
    <w:rsid w:val="00C60C9E"/>
    <w:rsid w:val="00E5386C"/>
    <w:rsid w:val="00E62156"/>
    <w:rsid w:val="00E76E2C"/>
    <w:rsid w:val="00E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C9E"/>
  </w:style>
  <w:style w:type="paragraph" w:styleId="Rodap">
    <w:name w:val="footer"/>
    <w:basedOn w:val="Normal"/>
    <w:link w:val="RodapChar"/>
    <w:uiPriority w:val="99"/>
    <w:unhideWhenUsed/>
    <w:rsid w:val="00C60C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C9E"/>
  </w:style>
  <w:style w:type="paragraph" w:styleId="Textodebalo">
    <w:name w:val="Balloon Text"/>
    <w:basedOn w:val="Normal"/>
    <w:link w:val="TextodebaloChar"/>
    <w:uiPriority w:val="99"/>
    <w:semiHidden/>
    <w:unhideWhenUsed/>
    <w:rsid w:val="00201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0C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C9E"/>
  </w:style>
  <w:style w:type="paragraph" w:styleId="Rodap">
    <w:name w:val="footer"/>
    <w:basedOn w:val="Normal"/>
    <w:link w:val="RodapChar"/>
    <w:uiPriority w:val="99"/>
    <w:unhideWhenUsed/>
    <w:rsid w:val="00C60C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C9E"/>
  </w:style>
  <w:style w:type="paragraph" w:styleId="Textodebalo">
    <w:name w:val="Balloon Text"/>
    <w:basedOn w:val="Normal"/>
    <w:link w:val="TextodebaloChar"/>
    <w:uiPriority w:val="99"/>
    <w:semiHidden/>
    <w:unhideWhenUsed/>
    <w:rsid w:val="00201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pt.wikipedia.org/wiki/Folclore" TargetMode="External"/><Relationship Id="rId3" Type="http://schemas.openxmlformats.org/officeDocument/2006/relationships/styles" Target="styles.xml"/><Relationship Id="rId21" Type="http://schemas.openxmlformats.org/officeDocument/2006/relationships/hyperlink" Target="http://pt.wikipedia.org/wiki/Regi%C3%A3o_Nordeste_do_Brasi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pt.wikipedia.org/wiki/Culin%C3%A1ri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M%C3%BAsica" TargetMode="External"/><Relationship Id="rId20" Type="http://schemas.openxmlformats.org/officeDocument/2006/relationships/hyperlink" Target="http://pt.wikipedia.org/wiki/Regi%C3%A3o_Norte_do_Brasi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pt.wikipedia.org/wiki/Cultura_de_Portuga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pt.wikipedia.org/wiki/Artesana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eumaedna@hotmail.com" TargetMode="External"/><Relationship Id="rId14" Type="http://schemas.openxmlformats.org/officeDocument/2006/relationships/header" Target="header3.xml"/><Relationship Id="rId22" Type="http://schemas.openxmlformats.org/officeDocument/2006/relationships/hyperlink" Target="http://pt.wikipedia.org/wiki/Sert%C3%A3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938D-1215-41D7-BAAF-42948A84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1273</Words>
  <Characters>6876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CAADIS</cp:lastModifiedBy>
  <cp:revision>6</cp:revision>
  <dcterms:created xsi:type="dcterms:W3CDTF">2016-06-08T20:43:00Z</dcterms:created>
  <dcterms:modified xsi:type="dcterms:W3CDTF">2016-12-02T14:21:00Z</dcterms:modified>
</cp:coreProperties>
</file>